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828674" cy="8191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" w:line="240" w:lineRule="auto"/>
        <w:ind w:left="1723" w:right="174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Ministério do Desenvolvimento Regional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4" w:lineRule="auto"/>
        <w:ind w:left="1723" w:right="174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Conselho Nacional de Recursos Hídricos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ind w:left="1669" w:right="1740" w:firstLine="0"/>
        <w:jc w:val="center"/>
        <w:rPr/>
      </w:pPr>
      <w:r w:rsidDel="00000000" w:rsidR="00000000" w:rsidRPr="00000000">
        <w:rPr>
          <w:rtl w:val="0"/>
        </w:rPr>
        <w:t xml:space="preserve">PROPOSTA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723" w:right="174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MOÇÃO CNRH Nº    , DE    DE NOVEMBRO DE 2022</w:t>
        <w:br w:type="textWrapping"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CONSELHO NACIONAL DE RECURSOS HÍDRICOS - CNRH, no uso das competências que lhe são conferidas pela </w:t>
      </w: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Lei n º 9.433, de 8 de janeiro de 1997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pela </w:t>
      </w:r>
      <w:hyperlink r:id="rId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Lei nº 9.984, de 17 de julho de 2000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pela </w:t>
      </w:r>
      <w:hyperlink r:id="rId1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Lei nº 12.334, de 20 de setembro de 2010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 pelo </w:t>
      </w:r>
      <w:hyperlink r:id="rId1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Decreto nº 10.000, de 3 de setembro de 2019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especialmente a competência de zelar pela implementação da Política Nacional de Segurança de Barragens, e tendo em vista o disposto em seu Regimento Interno e no Processo 59000.013848/2022-65, e;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que as barragens são ativos de infraestrutura de elevada importância às atividades humanas e que a sua integridade deve ser garantida tanto para a preservação dos usos a que se destinam quanto para a proteção da população, dos recursos hídricos, do meio ambiente e do patrimônio material, natural, histórico e cultural que seriam impactados em caso de acidente.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que as ações de fiscalização têm papel fundamental na implementação da Política Nacional de Segurança de Barragens, cujo principal objetivo é garantir a observância de padrões de segurança de barragens de maneira a fomentar a prevenção e a reduzir a possibilidade de acidente ou desastre e suas consequências.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que a fiscalização da segurança de barragens cabe à autoridade do poder público federal, estadual ou distrital, conforme disposto no art. 5º da Lei nº 12.334, de 2010.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que o </w:t>
      </w:r>
      <w:hyperlink r:id="rId1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Manual de Políticas e Práticas de Segurança de Barragens para entidades fiscalizadoras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de 2017,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da Agência Nacional de Águas e Saneamento Básico,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ecomenda: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</w:t>
        <w:tab/>
        <w:t xml:space="preserve">2 técnicos com dedicação exclusiva para até 30 barragens fiscalizadas;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</w:t>
        <w:tab/>
        <w:t xml:space="preserve">2 a 5 técnicos com dedicação exclusiva para até 100 barragens fiscalizadas;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</w:t>
        <w:tab/>
        <w:t xml:space="preserve">6 a 10 técnicos para até 300 barragens fiscalizadas;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</w:t>
        <w:tab/>
        <w:t xml:space="preserve">10 a 20 técnicos para até 1.000 barragens fiscalizadas; 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</w:t>
        <w:tab/>
        <w:t xml:space="preserve">mais de 20 técnicos para mais de 1.000 barragens fiscalizadas.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" w:line="232" w:lineRule="auto"/>
        <w:ind w:left="220" w:right="237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os reiterados diagnósticos, realizados a partir das informações do Relatório de Segurança de Barragens, de que as equipes de fiscalização de segurança de barragens necessitam de reforço e adequação, especialmente no que se refere ao quantitativo de profissionais e à dedicação exclusiva da equipe, para viabilizar a atuação efetiva na implementação da Política Nacional de Segurança de Barragens.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" w:line="232" w:lineRule="auto"/>
        <w:ind w:left="220" w:right="237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a Resolução CNRH nº 230, de 22 de março de 2022, que estabelece diretrizes para fiscalização da segurança de barragens de acumulação de água para usos múltiplos.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que, conforme dados do Relatório de Segurança de Barragens 2021, 1.088 barragens sujeitas à Política Nacional de Segurança de Barragens pertencem a empreendedores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dependentes do orçamento público (320 dos Municípios, 354 União, 414 dos Estados).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" w:line="232" w:lineRule="auto"/>
        <w:ind w:left="220" w:right="240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Considerando que o empreendedor é o responsável legal pela segurança da barragem, pelos danos decorrentes de seu rompimento, vazamento ou mau funcionamento e, independentemente da existência de culpa, pela reparação desses danos.</w:t>
      </w:r>
    </w:p>
    <w:p w:rsidR="00000000" w:rsidDel="00000000" w:rsidP="00000000" w:rsidRDefault="00000000" w:rsidRPr="00000000" w14:paraId="0000001A">
      <w:pPr>
        <w:pStyle w:val="Heading1"/>
        <w:spacing w:before="122" w:line="232" w:lineRule="auto"/>
        <w:ind w:right="249" w:firstLine="14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spacing w:before="122" w:line="232" w:lineRule="auto"/>
        <w:ind w:right="249" w:firstLine="1417"/>
        <w:rPr/>
      </w:pPr>
      <w:r w:rsidDel="00000000" w:rsidR="00000000" w:rsidRPr="00000000">
        <w:rPr>
          <w:rtl w:val="0"/>
        </w:rPr>
        <w:t xml:space="preserve">RESOLVE 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" w:line="232" w:lineRule="auto"/>
        <w:ind w:left="220" w:right="241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Recomendar aos Governos Federal, Estaduais e Distrital que: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" w:line="232" w:lineRule="auto"/>
        <w:ind w:left="220" w:right="241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– avaliem e viabilizem a adequada estruturação de suas entidades fiscalizadoras de segurança de barragens, de forma que tenham o quadro técnico em número adequado, observadas as recomendações do “Manual de Políticas e Práticas de Segurança de Barragens para Entidades Fiscalizadoras”, bem como os recursos tecnológicos e financeiros necessários para a implementação das ações da Política Nacional de Segurança de Barragens sob sua responsabilidade;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" w:line="232" w:lineRule="auto"/>
        <w:ind w:left="220" w:right="241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II – criem rubrica orçamentária específica para as ações de segurança de barragens, em especial para manutenção, operação e adequação à Lei nº 12.334, de 2010, bem como fortaleçam a estrutura técnica de suas unidades administrativas que figuram como “empreendedor de barragens” perante a legislação, inclusive avaliando a criação de estrutura de governança com atribuição formal de segurança de barragens; 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" w:line="232" w:lineRule="auto"/>
        <w:ind w:left="220" w:right="241" w:firstLine="141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promovam debates internos para o estabelecimento de um plano de ação para a implementação das recomendações desta moção e, com efetividade, da Política Nacional de Segurança de Barragens em suas esferas de competência.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3" w:type="default"/>
      <w:pgSz w:h="16840" w:w="11900" w:orient="portrait"/>
      <w:pgMar w:bottom="480" w:top="520" w:left="600" w:right="560" w:header="274" w:footer="28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466" w:right="17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Calibri" w:cs="Calibri" w:eastAsia="Calibri" w:hAnsi="Calibri"/>
      <w:lang w:val="pt-PT"/>
    </w:rPr>
  </w:style>
  <w:style w:type="paragraph" w:styleId="Ttulo1">
    <w:name w:val="heading 1"/>
    <w:basedOn w:val="Normal"/>
    <w:uiPriority w:val="9"/>
    <w:qFormat w:val="1"/>
    <w:pPr>
      <w:ind w:left="466" w:right="17"/>
      <w:outlineLvl w:val="0"/>
    </w:pPr>
    <w:rPr>
      <w:b w:val="1"/>
      <w:bCs w:val="1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 w:val="1"/>
    <w:unhideWhenUsed w:val="1"/>
    <w:qFormat w:val="1"/>
    <w:rsid w:val="007D2CE7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243f60" w:themeColor="accent1" w:themeShade="00007F"/>
      <w:sz w:val="24"/>
      <w:szCs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NormalTable0" w:customStyle="1">
    <w:name w:val="Normal Table0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pPr>
      <w:ind w:left="220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 w:val="1"/>
    <w:pPr>
      <w:spacing w:before="119"/>
      <w:ind w:left="220" w:right="17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Cabealho">
    <w:name w:val="header"/>
    <w:basedOn w:val="Normal"/>
    <w:link w:val="CabealhoChar"/>
    <w:uiPriority w:val="99"/>
    <w:unhideWhenUsed w:val="1"/>
    <w:rsid w:val="00A54B6A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A54B6A"/>
    <w:rPr>
      <w:rFonts w:ascii="Calibri" w:cs="Calibri" w:eastAsia="Calibri" w:hAnsi="Calibri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A54B6A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A54B6A"/>
    <w:rPr>
      <w:rFonts w:ascii="Calibri" w:cs="Calibri" w:eastAsia="Calibri" w:hAnsi="Calibri"/>
      <w:lang w:val="pt-PT"/>
    </w:rPr>
  </w:style>
  <w:style w:type="character" w:styleId="Ttulo3Char" w:customStyle="1">
    <w:name w:val="Título 3 Char"/>
    <w:basedOn w:val="Fontepargpadro"/>
    <w:link w:val="Ttulo3"/>
    <w:uiPriority w:val="9"/>
    <w:semiHidden w:val="1"/>
    <w:rsid w:val="007D2CE7"/>
    <w:rPr>
      <w:rFonts w:asciiTheme="majorHAnsi" w:cstheme="majorBidi" w:eastAsiaTheme="majorEastAsia" w:hAnsiTheme="majorHAnsi"/>
      <w:color w:val="243f60" w:themeColor="accent1" w:themeShade="00007F"/>
      <w:sz w:val="24"/>
      <w:szCs w:val="24"/>
      <w:lang w:val="pt-PT"/>
    </w:rPr>
  </w:style>
  <w:style w:type="paragraph" w:styleId="Reviso">
    <w:name w:val="Revision"/>
    <w:hidden w:val="1"/>
    <w:uiPriority w:val="99"/>
    <w:semiHidden w:val="1"/>
    <w:rsid w:val="007D6FA6"/>
    <w:pPr>
      <w:widowControl w:val="1"/>
      <w:autoSpaceDE w:val="1"/>
      <w:autoSpaceDN w:val="1"/>
    </w:pPr>
    <w:rPr>
      <w:rFonts w:ascii="Calibri" w:cs="Calibri" w:eastAsia="Calibri" w:hAnsi="Calibri"/>
      <w:lang w:val="pt-PT"/>
    </w:rPr>
  </w:style>
  <w:style w:type="character" w:styleId="Hyperlink">
    <w:name w:val="Hyperlink"/>
    <w:basedOn w:val="Fontepargpadro"/>
    <w:uiPriority w:val="99"/>
    <w:unhideWhenUsed w:val="1"/>
    <w:rsid w:val="00FB1E7A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FB1E7A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planalto.gov.br/ccivil_03/_ato2019-2022/2019/decreto/D10000.htm" TargetMode="External"/><Relationship Id="rId10" Type="http://schemas.openxmlformats.org/officeDocument/2006/relationships/hyperlink" Target="http://www.planalto.gov.br/ccivil_03/_ato2007-2010/2010/lei/l12334.htm" TargetMode="External"/><Relationship Id="rId13" Type="http://schemas.openxmlformats.org/officeDocument/2006/relationships/footer" Target="footer1.xml"/><Relationship Id="rId12" Type="http://schemas.openxmlformats.org/officeDocument/2006/relationships/hyperlink" Target="https://www.snisb.gov.br/Entenda_Mais/publicacoes/copy_of_ManualEmpreendedor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lanalto.gov.br/ccivil_03/leis/L9984compilado.ht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planalto.gov.br/ccivil_03/LEIS/L9433.htm#:~:text=LEI%20N%C2%BA%209.433%2C%20DE%208%20DE%20JANEIRO%20DE%201997.&amp;text=Institui%20a%20Pol%C3%ADtica%20Nacional%20de,Federal%2C%20e%20altera%20o%20art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QAXHywF5rLmHslbY9H1a910p1w==">AMUW2mUJvLS8I7ULbBgIOWiAVoanJSdvG6QNi5B1gzX2ZZkbOO6buZl5tcPoe/BIWZvkMPBSlRXbidJkRa/U+qWoANjdeeU+splgbNTLZxbhV9xQWVSWeRk=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2022-11-25T14:39:00Z</dcterms:created>
  <dc:creator>Cristiane Collet Battiston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Mozilla/5.0 (Windows NT 10.0; Win64; x64) AppleWebKit/537.36 (KHTML, like Gecko) Chrome/102.0.5005.63 Safari/537.36</vt:lpwstr>
  </property>
  <property fmtid="{D5CDD505-2E9C-101B-9397-08002B2CF9AE}" pid="4" name="LastSaved">
    <vt:filetime>2022-05-31T00:00:00Z</vt:filetime>
  </property>
  <property fmtid="{D5CDD505-2E9C-101B-9397-08002B2CF9AE}" pid="5" name="ContentTypeId">
    <vt:lpwstr>0x01010069A242BCE956C4499B27C310273CFB17</vt:lpwstr>
  </property>
  <property fmtid="{D5CDD505-2E9C-101B-9397-08002B2CF9AE}" pid="6" name="MSIP_Label_f8afab47-5f18-4dcb-9ef3-cd87045d98ab_Enabled">
    <vt:lpwstr>true</vt:lpwstr>
  </property>
  <property fmtid="{D5CDD505-2E9C-101B-9397-08002B2CF9AE}" pid="7" name="MSIP_Label_f8afab47-5f18-4dcb-9ef3-cd87045d98ab_SetDate">
    <vt:lpwstr>2022-06-23T20:28:46Z</vt:lpwstr>
  </property>
  <property fmtid="{D5CDD505-2E9C-101B-9397-08002B2CF9AE}" pid="8" name="MSIP_Label_f8afab47-5f18-4dcb-9ef3-cd87045d98ab_Method">
    <vt:lpwstr>Standard</vt:lpwstr>
  </property>
  <property fmtid="{D5CDD505-2E9C-101B-9397-08002B2CF9AE}" pid="9" name="MSIP_Label_f8afab47-5f18-4dcb-9ef3-cd87045d98ab_Name">
    <vt:lpwstr>Statkraft Internal - No Label</vt:lpwstr>
  </property>
  <property fmtid="{D5CDD505-2E9C-101B-9397-08002B2CF9AE}" pid="10" name="MSIP_Label_f8afab47-5f18-4dcb-9ef3-cd87045d98ab_SiteId">
    <vt:lpwstr>a40c0d68-338e-44ef-ab17-812ee42d12c7</vt:lpwstr>
  </property>
  <property fmtid="{D5CDD505-2E9C-101B-9397-08002B2CF9AE}" pid="11" name="MSIP_Label_f8afab47-5f18-4dcb-9ef3-cd87045d98ab_ActionId">
    <vt:lpwstr>7a385cf0-203d-4860-afc5-a9fb6b5742ee</vt:lpwstr>
  </property>
  <property fmtid="{D5CDD505-2E9C-101B-9397-08002B2CF9AE}" pid="12" name="MSIP_Label_f8afab47-5f18-4dcb-9ef3-cd87045d98ab_ContentBits">
    <vt:lpwstr>0</vt:lpwstr>
  </property>
</Properties>
</file>